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11" w:rsidRDefault="006D7011" w:rsidP="00CD7E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CD7EA6" w:rsidRPr="00CD7EA6" w:rsidRDefault="00CD7EA6" w:rsidP="00CD7E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CD7E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Порядок закупки э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л</w:t>
      </w:r>
      <w:r w:rsidRPr="00CD7E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ектроэнергии для компенсации потерь и ее стоимость</w:t>
      </w:r>
    </w:p>
    <w:p w:rsidR="00CD7EA6" w:rsidRDefault="00CD7EA6" w:rsidP="00CD7E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EE45FA" w:rsidRDefault="00EE45FA" w:rsidP="00CD7E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EE45FA" w:rsidRDefault="00EE45FA" w:rsidP="00CD7E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E55D94" w:rsidRDefault="00E55D94" w:rsidP="00EE45FA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0"/>
        </w:rPr>
      </w:pPr>
      <w:r w:rsidRPr="00A648E2">
        <w:rPr>
          <w:rFonts w:ascii="Arial" w:eastAsia="Times New Roman" w:hAnsi="Arial" w:cs="Arial"/>
          <w:b/>
          <w:bCs/>
          <w:color w:val="000000"/>
          <w:sz w:val="20"/>
        </w:rPr>
        <w:t>Объем электроэнергии, приобретаемой для компенсации нормативной величины технологического расхода (потерь) электроэнергии при её передаче по электрическим сетям на 201</w:t>
      </w:r>
      <w:r w:rsidR="002D5092">
        <w:rPr>
          <w:rFonts w:ascii="Arial" w:eastAsia="Times New Roman" w:hAnsi="Arial" w:cs="Arial"/>
          <w:b/>
          <w:bCs/>
          <w:color w:val="000000"/>
          <w:sz w:val="20"/>
        </w:rPr>
        <w:t>2</w:t>
      </w:r>
      <w:r w:rsidRPr="00A648E2">
        <w:rPr>
          <w:rFonts w:ascii="Arial" w:eastAsia="Times New Roman" w:hAnsi="Arial" w:cs="Arial"/>
          <w:b/>
          <w:bCs/>
          <w:color w:val="000000"/>
          <w:sz w:val="20"/>
        </w:rPr>
        <w:t xml:space="preserve"> год для О</w:t>
      </w:r>
      <w:r>
        <w:rPr>
          <w:rFonts w:ascii="Arial" w:eastAsia="Times New Roman" w:hAnsi="Arial" w:cs="Arial"/>
          <w:b/>
          <w:bCs/>
          <w:color w:val="000000"/>
          <w:sz w:val="20"/>
        </w:rPr>
        <w:t>О</w:t>
      </w:r>
      <w:r w:rsidRPr="00A648E2">
        <w:rPr>
          <w:rFonts w:ascii="Arial" w:eastAsia="Times New Roman" w:hAnsi="Arial" w:cs="Arial"/>
          <w:b/>
          <w:bCs/>
          <w:color w:val="000000"/>
          <w:sz w:val="20"/>
        </w:rPr>
        <w:t>О «</w:t>
      </w:r>
      <w:r>
        <w:rPr>
          <w:rFonts w:ascii="Arial" w:eastAsia="Times New Roman" w:hAnsi="Arial" w:cs="Arial"/>
          <w:b/>
          <w:bCs/>
          <w:color w:val="000000"/>
          <w:sz w:val="20"/>
        </w:rPr>
        <w:t>Ю</w:t>
      </w:r>
      <w:r w:rsidR="002D5092">
        <w:rPr>
          <w:rFonts w:ascii="Arial" w:eastAsia="Times New Roman" w:hAnsi="Arial" w:cs="Arial"/>
          <w:b/>
          <w:bCs/>
          <w:color w:val="000000"/>
          <w:sz w:val="20"/>
        </w:rPr>
        <w:t>г</w:t>
      </w:r>
      <w:r>
        <w:rPr>
          <w:rFonts w:ascii="Arial" w:eastAsia="Times New Roman" w:hAnsi="Arial" w:cs="Arial"/>
          <w:b/>
          <w:bCs/>
          <w:color w:val="000000"/>
          <w:sz w:val="20"/>
        </w:rPr>
        <w:t>Э</w:t>
      </w:r>
      <w:r w:rsidR="002D5092">
        <w:rPr>
          <w:rFonts w:ascii="Arial" w:eastAsia="Times New Roman" w:hAnsi="Arial" w:cs="Arial"/>
          <w:b/>
          <w:bCs/>
          <w:color w:val="000000"/>
          <w:sz w:val="20"/>
        </w:rPr>
        <w:t>нерго</w:t>
      </w:r>
      <w:r>
        <w:rPr>
          <w:rFonts w:ascii="Arial" w:eastAsia="Times New Roman" w:hAnsi="Arial" w:cs="Arial"/>
          <w:b/>
          <w:bCs/>
          <w:color w:val="000000"/>
          <w:sz w:val="20"/>
        </w:rPr>
        <w:t>Р</w:t>
      </w:r>
      <w:r w:rsidR="002D5092">
        <w:rPr>
          <w:rFonts w:ascii="Arial" w:eastAsia="Times New Roman" w:hAnsi="Arial" w:cs="Arial"/>
          <w:b/>
          <w:bCs/>
          <w:color w:val="000000"/>
          <w:sz w:val="20"/>
        </w:rPr>
        <w:t>есурс</w:t>
      </w:r>
      <w:r w:rsidRPr="00A648E2">
        <w:rPr>
          <w:rFonts w:ascii="Arial" w:eastAsia="Times New Roman" w:hAnsi="Arial" w:cs="Arial"/>
          <w:b/>
          <w:bCs/>
          <w:color w:val="000000"/>
          <w:sz w:val="20"/>
        </w:rPr>
        <w:t>»</w:t>
      </w:r>
      <w:r w:rsidR="001E6716">
        <w:rPr>
          <w:rFonts w:ascii="Arial" w:eastAsia="Times New Roman" w:hAnsi="Arial" w:cs="Arial"/>
          <w:b/>
          <w:bCs/>
          <w:color w:val="000000"/>
          <w:sz w:val="20"/>
        </w:rPr>
        <w:t>,</w:t>
      </w:r>
      <w:r w:rsidRPr="00A648E2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gramStart"/>
      <w:r w:rsidRPr="00A648E2">
        <w:rPr>
          <w:rFonts w:ascii="Arial" w:eastAsia="Times New Roman" w:hAnsi="Arial" w:cs="Arial"/>
          <w:b/>
          <w:bCs/>
          <w:color w:val="000000"/>
          <w:sz w:val="20"/>
        </w:rPr>
        <w:t>согласно Приказа</w:t>
      </w:r>
      <w:proofErr w:type="gramEnd"/>
      <w:r w:rsidRPr="00A648E2">
        <w:rPr>
          <w:rFonts w:ascii="Arial" w:eastAsia="Times New Roman" w:hAnsi="Arial" w:cs="Arial"/>
          <w:b/>
          <w:bCs/>
          <w:color w:val="000000"/>
          <w:sz w:val="20"/>
        </w:rPr>
        <w:t xml:space="preserve"> Федеральной службы по тарифам от 2</w:t>
      </w:r>
      <w:r w:rsidR="002D5092">
        <w:rPr>
          <w:rFonts w:ascii="Arial" w:eastAsia="Times New Roman" w:hAnsi="Arial" w:cs="Arial"/>
          <w:b/>
          <w:bCs/>
          <w:color w:val="000000"/>
          <w:sz w:val="20"/>
        </w:rPr>
        <w:t>9</w:t>
      </w:r>
      <w:r w:rsidRPr="00A648E2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1E6716">
        <w:rPr>
          <w:rFonts w:ascii="Arial" w:eastAsia="Times New Roman" w:hAnsi="Arial" w:cs="Arial"/>
          <w:b/>
          <w:bCs/>
          <w:color w:val="000000"/>
          <w:sz w:val="20"/>
        </w:rPr>
        <w:t>ноября</w:t>
      </w:r>
      <w:r w:rsidRPr="00A648E2">
        <w:rPr>
          <w:rFonts w:ascii="Arial" w:eastAsia="Times New Roman" w:hAnsi="Arial" w:cs="Arial"/>
          <w:b/>
          <w:bCs/>
          <w:color w:val="000000"/>
          <w:sz w:val="20"/>
        </w:rPr>
        <w:t xml:space="preserve"> 20</w:t>
      </w:r>
      <w:r w:rsidR="001E6716">
        <w:rPr>
          <w:rFonts w:ascii="Arial" w:eastAsia="Times New Roman" w:hAnsi="Arial" w:cs="Arial"/>
          <w:b/>
          <w:bCs/>
          <w:color w:val="000000"/>
          <w:sz w:val="20"/>
        </w:rPr>
        <w:t>1</w:t>
      </w:r>
      <w:r w:rsidR="002D5092">
        <w:rPr>
          <w:rFonts w:ascii="Arial" w:eastAsia="Times New Roman" w:hAnsi="Arial" w:cs="Arial"/>
          <w:b/>
          <w:bCs/>
          <w:color w:val="000000"/>
          <w:sz w:val="20"/>
        </w:rPr>
        <w:t xml:space="preserve">1 </w:t>
      </w:r>
      <w:r w:rsidR="001E6716">
        <w:rPr>
          <w:rFonts w:ascii="Arial" w:eastAsia="Times New Roman" w:hAnsi="Arial" w:cs="Arial"/>
          <w:b/>
          <w:bCs/>
          <w:color w:val="000000"/>
          <w:sz w:val="20"/>
        </w:rPr>
        <w:t>г. №3</w:t>
      </w:r>
      <w:r w:rsidR="002D5092">
        <w:rPr>
          <w:rFonts w:ascii="Arial" w:eastAsia="Times New Roman" w:hAnsi="Arial" w:cs="Arial"/>
          <w:b/>
          <w:bCs/>
          <w:color w:val="000000"/>
          <w:sz w:val="20"/>
        </w:rPr>
        <w:t>01</w:t>
      </w:r>
      <w:r w:rsidRPr="00A648E2">
        <w:rPr>
          <w:rFonts w:ascii="Arial" w:eastAsia="Times New Roman" w:hAnsi="Arial" w:cs="Arial"/>
          <w:b/>
          <w:bCs/>
          <w:color w:val="000000"/>
          <w:sz w:val="20"/>
        </w:rPr>
        <w:t>-э/</w:t>
      </w:r>
      <w:r w:rsidR="002D5092">
        <w:rPr>
          <w:rFonts w:ascii="Arial" w:eastAsia="Times New Roman" w:hAnsi="Arial" w:cs="Arial"/>
          <w:b/>
          <w:bCs/>
          <w:color w:val="000000"/>
          <w:sz w:val="20"/>
        </w:rPr>
        <w:t>2</w:t>
      </w:r>
      <w:r w:rsidR="001E6716">
        <w:rPr>
          <w:rFonts w:ascii="Arial" w:eastAsia="Times New Roman" w:hAnsi="Arial" w:cs="Arial"/>
          <w:b/>
          <w:bCs/>
          <w:color w:val="000000"/>
          <w:sz w:val="20"/>
        </w:rPr>
        <w:t>, млн. кВтч</w:t>
      </w:r>
      <w:r w:rsidRPr="00A648E2">
        <w:rPr>
          <w:rFonts w:ascii="Arial" w:eastAsia="Times New Roman" w:hAnsi="Arial" w:cs="Arial"/>
          <w:b/>
          <w:bCs/>
          <w:color w:val="000000"/>
          <w:sz w:val="20"/>
        </w:rPr>
        <w:t>:</w:t>
      </w:r>
    </w:p>
    <w:p w:rsidR="00EE45FA" w:rsidRPr="00A648E2" w:rsidRDefault="00EE45FA" w:rsidP="00CD7EA6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851"/>
        <w:gridCol w:w="992"/>
        <w:gridCol w:w="851"/>
        <w:gridCol w:w="992"/>
        <w:gridCol w:w="850"/>
        <w:gridCol w:w="851"/>
        <w:gridCol w:w="850"/>
        <w:gridCol w:w="993"/>
        <w:gridCol w:w="992"/>
        <w:gridCol w:w="992"/>
        <w:gridCol w:w="904"/>
        <w:gridCol w:w="1079"/>
        <w:gridCol w:w="1008"/>
      </w:tblGrid>
      <w:tr w:rsidR="00E55D94" w:rsidRPr="00A648E2" w:rsidTr="002D5092">
        <w:trPr>
          <w:trHeight w:val="695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Сетевая организация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2D5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55D94" w:rsidRPr="00A648E2" w:rsidTr="002D5092">
        <w:trPr>
          <w:trHeight w:val="695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1E6716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2D5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 </w:t>
            </w:r>
            <w:r w:rsidR="001E67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ЮгЭнергоРесурс</w:t>
            </w: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  <w:r w:rsidR="002D5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  <w:r w:rsidR="002D5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</w:t>
            </w:r>
            <w:r w:rsidR="002D5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</w:t>
            </w:r>
            <w:r w:rsidR="002D5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</w:t>
            </w:r>
            <w:r w:rsidR="002D5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</w:t>
            </w:r>
            <w:r w:rsidR="002D5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</w:t>
            </w:r>
            <w:r w:rsidR="002D5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  <w:r w:rsidR="002D5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</w:t>
            </w:r>
            <w:r w:rsidR="002D5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</w:t>
            </w:r>
            <w:r w:rsidR="002D5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</w:t>
            </w:r>
            <w:r w:rsidR="002D5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</w:t>
            </w:r>
            <w:r w:rsidR="002D5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2D5092" w:rsidP="002D50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1E67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1E67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D5092" w:rsidRPr="00851ABE" w:rsidRDefault="002D5092" w:rsidP="005E7BA6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44E23" w:rsidRDefault="00CA763A" w:rsidP="00EE45F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Покупка электрической энергии в целях компенсации потерь в собственных сетях </w:t>
      </w:r>
      <w:r w:rsidR="00CD7EA6"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2D5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CD7E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D5092"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 w:rsidR="00CD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у энергосбытов</w:t>
      </w:r>
      <w:r w:rsidR="00F44E2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</w:t>
      </w:r>
      <w:r w:rsidR="00F44E2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6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(гарантирующий поставщик) ОАО «НЭСК»</w:t>
      </w:r>
      <w:r w:rsidR="00C741DA">
        <w:rPr>
          <w:rFonts w:ascii="Times New Roman" w:eastAsia="Times New Roman" w:hAnsi="Times New Roman" w:cs="Times New Roman"/>
          <w:color w:val="000000"/>
          <w:sz w:val="24"/>
          <w:szCs w:val="24"/>
        </w:rPr>
        <w:t>, сбытовая надбавка которого</w:t>
      </w:r>
      <w:r w:rsidR="00056D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7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</w:t>
      </w:r>
      <w:r w:rsidR="00056D2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7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Приказ</w:t>
      </w:r>
      <w:r w:rsidR="00056D29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C7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41DA"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энергетической комиссии – департамента цен и тарифов Краснодарского края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D29">
        <w:rPr>
          <w:rFonts w:ascii="Times New Roman" w:hAnsi="Times New Roman" w:cs="Times New Roman"/>
          <w:sz w:val="24"/>
          <w:szCs w:val="24"/>
        </w:rPr>
        <w:t xml:space="preserve">от 26.12.2011 </w:t>
      </w:r>
      <w:r w:rsidR="00C741DA">
        <w:rPr>
          <w:rFonts w:ascii="Times New Roman" w:hAnsi="Times New Roman" w:cs="Times New Roman"/>
          <w:sz w:val="24"/>
          <w:szCs w:val="24"/>
        </w:rPr>
        <w:t>№</w:t>
      </w:r>
      <w:r w:rsidR="005C0FDE">
        <w:rPr>
          <w:rFonts w:ascii="Times New Roman" w:hAnsi="Times New Roman" w:cs="Times New Roman"/>
          <w:sz w:val="24"/>
          <w:szCs w:val="24"/>
        </w:rPr>
        <w:t>41</w:t>
      </w:r>
      <w:r w:rsidR="00C741DA">
        <w:rPr>
          <w:rFonts w:ascii="Times New Roman" w:hAnsi="Times New Roman" w:cs="Times New Roman"/>
          <w:sz w:val="24"/>
          <w:szCs w:val="24"/>
        </w:rPr>
        <w:t>/201</w:t>
      </w:r>
      <w:r w:rsidR="005C0FDE">
        <w:rPr>
          <w:rFonts w:ascii="Times New Roman" w:hAnsi="Times New Roman" w:cs="Times New Roman"/>
          <w:sz w:val="24"/>
          <w:szCs w:val="24"/>
        </w:rPr>
        <w:t>1</w:t>
      </w:r>
      <w:r w:rsidR="00C741DA">
        <w:rPr>
          <w:rFonts w:ascii="Times New Roman" w:hAnsi="Times New Roman" w:cs="Times New Roman"/>
          <w:sz w:val="24"/>
          <w:szCs w:val="24"/>
        </w:rPr>
        <w:t>-э</w:t>
      </w:r>
      <w:r w:rsidR="00056D29">
        <w:rPr>
          <w:rFonts w:ascii="Times New Roman" w:hAnsi="Times New Roman" w:cs="Times New Roman"/>
          <w:sz w:val="24"/>
          <w:szCs w:val="24"/>
        </w:rPr>
        <w:t>, от 30.05.2012 №12/2012-э</w:t>
      </w:r>
      <w:r w:rsidR="005C0FDE">
        <w:rPr>
          <w:rFonts w:ascii="Times New Roman" w:hAnsi="Times New Roman" w:cs="Times New Roman"/>
          <w:sz w:val="24"/>
          <w:szCs w:val="24"/>
        </w:rPr>
        <w:t xml:space="preserve"> </w:t>
      </w:r>
      <w:r w:rsidR="00C741DA">
        <w:rPr>
          <w:rFonts w:ascii="Times New Roman" w:hAnsi="Times New Roman" w:cs="Times New Roman"/>
          <w:sz w:val="24"/>
          <w:szCs w:val="24"/>
        </w:rPr>
        <w:t>«Об установлении сбытовой надбавки гарантирующего поставщика электрической энергии» для тарифной группы «организации, оказывающие услуги по</w:t>
      </w:r>
      <w:proofErr w:type="gramEnd"/>
      <w:r w:rsidR="00C741DA">
        <w:rPr>
          <w:rFonts w:ascii="Times New Roman" w:hAnsi="Times New Roman" w:cs="Times New Roman"/>
          <w:sz w:val="24"/>
          <w:szCs w:val="24"/>
        </w:rPr>
        <w:t xml:space="preserve"> передаче электрической энергии, приобретающие её в целях компенсации потерь в сетях, принадлежащих данным организациям на праве собственности или ином законном основании»</w:t>
      </w:r>
      <w:r w:rsidR="00056D29">
        <w:rPr>
          <w:rFonts w:ascii="Times New Roman" w:hAnsi="Times New Roman" w:cs="Times New Roman"/>
          <w:sz w:val="24"/>
          <w:szCs w:val="24"/>
        </w:rPr>
        <w:t>,</w:t>
      </w:r>
      <w:r w:rsidR="00C74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E23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="00F44E2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741DA">
        <w:rPr>
          <w:rFonts w:ascii="Times New Roman" w:hAnsi="Times New Roman" w:cs="Times New Roman"/>
          <w:sz w:val="24"/>
          <w:szCs w:val="24"/>
        </w:rPr>
        <w:t xml:space="preserve"> </w:t>
      </w:r>
      <w:r w:rsidR="00F44E2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E4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4E23">
        <w:rPr>
          <w:rFonts w:ascii="Times New Roman" w:eastAsia="Times New Roman" w:hAnsi="Times New Roman" w:cs="Times New Roman"/>
          <w:color w:val="000000"/>
          <w:sz w:val="24"/>
          <w:szCs w:val="24"/>
        </w:rPr>
        <w:t>753,73</w:t>
      </w:r>
      <w:r w:rsidR="00EE4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4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F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44E23">
        <w:rPr>
          <w:rFonts w:ascii="Times New Roman" w:eastAsia="Times New Roman" w:hAnsi="Times New Roman" w:cs="Times New Roman"/>
          <w:color w:val="000000"/>
          <w:sz w:val="24"/>
          <w:szCs w:val="24"/>
        </w:rPr>
        <w:t>уб./МВт</w:t>
      </w:r>
      <w:r w:rsidR="00056D29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F44E23"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44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0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01.01.2012 г.</w:t>
      </w:r>
      <w:r w:rsidR="00056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1 680,14 Руб./МВт*</w:t>
      </w:r>
      <w:r w:rsidR="00056D29"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56D29">
        <w:rPr>
          <w:rFonts w:ascii="Times New Roman" w:eastAsia="Times New Roman" w:hAnsi="Times New Roman" w:cs="Times New Roman"/>
          <w:color w:val="000000"/>
          <w:sz w:val="24"/>
          <w:szCs w:val="24"/>
        </w:rPr>
        <w:t>. с 01.07.2012 г. соответственно.</w:t>
      </w:r>
    </w:p>
    <w:p w:rsidR="00E55D94" w:rsidRDefault="00F44E23" w:rsidP="00EE45F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окупка электрической энергии в целях компенсации потерь в собственных сетях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2D5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D5092"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агентскому договору с энергосбытовой компанией ООО «КубаньРесурс»</w:t>
      </w:r>
      <w:r w:rsidRPr="00F44E2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956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энергосбытов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(гарантирующий поставщик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956D83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«Кубаньэнергосбыт»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56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сбытовая надбавка которого</w:t>
      </w:r>
      <w:r w:rsidR="00B63D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</w:t>
      </w:r>
      <w:r w:rsidR="00B63D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Приказ</w:t>
      </w:r>
      <w:r w:rsidR="00A6568D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энергетической комиссии – департамента цен и тарифов Краснодарского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568D">
        <w:rPr>
          <w:rFonts w:ascii="Times New Roman" w:hAnsi="Times New Roman" w:cs="Times New Roman"/>
          <w:sz w:val="24"/>
          <w:szCs w:val="24"/>
        </w:rPr>
        <w:t xml:space="preserve">от 26.12.2011 </w:t>
      </w:r>
      <w:r w:rsidR="005C0FDE">
        <w:rPr>
          <w:rFonts w:ascii="Times New Roman" w:hAnsi="Times New Roman" w:cs="Times New Roman"/>
          <w:sz w:val="24"/>
          <w:szCs w:val="24"/>
        </w:rPr>
        <w:t>№40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5C0F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-э</w:t>
      </w:r>
      <w:r w:rsidR="00A6568D">
        <w:rPr>
          <w:rFonts w:ascii="Times New Roman" w:hAnsi="Times New Roman" w:cs="Times New Roman"/>
          <w:sz w:val="24"/>
          <w:szCs w:val="24"/>
        </w:rPr>
        <w:t>, от 30.05.2012 №11/2012-э</w:t>
      </w:r>
      <w:r w:rsidR="005C0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установлении сбытовой надбавки гарантирующего поставщика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электрической энергии» для тарифной группы «организации, оказывающие услуги по передаче электрической энергии, приобретающие её в целях компенсации потерь в сетях, принадлежащих данным организациям на праве собственности или ином законном основании»</w:t>
      </w:r>
      <w:r w:rsidR="00A656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установлена в размере </w:t>
      </w:r>
      <w:r w:rsidR="005C0FD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E4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838,15 </w:t>
      </w:r>
      <w:r w:rsidR="00EE4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F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уб./МВт</w:t>
      </w:r>
      <w:r w:rsidR="00A6568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0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01.01.2012 г.</w:t>
      </w:r>
      <w:r w:rsidR="00CA763A"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568D">
        <w:rPr>
          <w:rFonts w:ascii="Times New Roman" w:eastAsia="Times New Roman" w:hAnsi="Times New Roman" w:cs="Times New Roman"/>
          <w:color w:val="000000"/>
          <w:sz w:val="24"/>
          <w:szCs w:val="24"/>
        </w:rPr>
        <w:t>и 1 838,15 Руб./МВт*</w:t>
      </w:r>
      <w:r w:rsidR="00A6568D"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568D">
        <w:rPr>
          <w:rFonts w:ascii="Times New Roman" w:eastAsia="Times New Roman" w:hAnsi="Times New Roman" w:cs="Times New Roman"/>
          <w:color w:val="000000"/>
          <w:sz w:val="24"/>
          <w:szCs w:val="24"/>
        </w:rPr>
        <w:t>. с 01.07.2012 г. соответственно.</w:t>
      </w:r>
      <w:proofErr w:type="gramEnd"/>
    </w:p>
    <w:p w:rsidR="006D7011" w:rsidRDefault="00F44E23" w:rsidP="00EE45F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ООО «Ю</w:t>
      </w:r>
      <w:r w:rsidR="002D509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2D5092">
        <w:rPr>
          <w:rFonts w:ascii="Times New Roman" w:eastAsia="Times New Roman" w:hAnsi="Times New Roman" w:cs="Times New Roman"/>
          <w:color w:val="000000"/>
          <w:sz w:val="24"/>
          <w:szCs w:val="24"/>
        </w:rPr>
        <w:t>нерго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D5092">
        <w:rPr>
          <w:rFonts w:ascii="Times New Roman" w:eastAsia="Times New Roman" w:hAnsi="Times New Roman" w:cs="Times New Roman"/>
          <w:color w:val="000000"/>
          <w:sz w:val="24"/>
          <w:szCs w:val="24"/>
        </w:rPr>
        <w:t>есурс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осуществляет п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электрической энергии в целях компенсации потерь в собственных сетях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2D5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D5092"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блок-станций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сахарных заводов</w:t>
      </w:r>
      <w:r w:rsidR="005E7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BA6">
        <w:rPr>
          <w:rFonts w:ascii="Times New Roman" w:eastAsia="Times New Roman" w:hAnsi="Times New Roman" w:cs="Times New Roman"/>
          <w:sz w:val="24"/>
          <w:szCs w:val="24"/>
        </w:rPr>
        <w:t>по агентскому договору с энергосбытовой компанией ООО «КубаньРесурс».</w:t>
      </w:r>
    </w:p>
    <w:sectPr w:rsidR="006D7011" w:rsidSect="00CD7EA6">
      <w:pgSz w:w="16838" w:h="11906" w:orient="landscape"/>
      <w:pgMar w:top="993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B16"/>
    <w:rsid w:val="00056D29"/>
    <w:rsid w:val="000C4C34"/>
    <w:rsid w:val="001E6716"/>
    <w:rsid w:val="002D5092"/>
    <w:rsid w:val="00390B0F"/>
    <w:rsid w:val="003F0B16"/>
    <w:rsid w:val="004201B0"/>
    <w:rsid w:val="004B0599"/>
    <w:rsid w:val="005C0FDE"/>
    <w:rsid w:val="005E7BA6"/>
    <w:rsid w:val="00664263"/>
    <w:rsid w:val="006D7011"/>
    <w:rsid w:val="00851ABE"/>
    <w:rsid w:val="00956D83"/>
    <w:rsid w:val="009A43BF"/>
    <w:rsid w:val="009E7C64"/>
    <w:rsid w:val="00A6568D"/>
    <w:rsid w:val="00B10FCB"/>
    <w:rsid w:val="00B63DFF"/>
    <w:rsid w:val="00B82DD0"/>
    <w:rsid w:val="00C36211"/>
    <w:rsid w:val="00C741DA"/>
    <w:rsid w:val="00CA763A"/>
    <w:rsid w:val="00CD7EA6"/>
    <w:rsid w:val="00D97955"/>
    <w:rsid w:val="00DE69E4"/>
    <w:rsid w:val="00E50FD2"/>
    <w:rsid w:val="00E55D94"/>
    <w:rsid w:val="00EE45FA"/>
    <w:rsid w:val="00F4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DD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"КубаньРесурс"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Экономист</cp:lastModifiedBy>
  <cp:revision>7</cp:revision>
  <cp:lastPrinted>2011-10-31T10:34:00Z</cp:lastPrinted>
  <dcterms:created xsi:type="dcterms:W3CDTF">2012-04-17T04:54:00Z</dcterms:created>
  <dcterms:modified xsi:type="dcterms:W3CDTF">2013-05-28T07:49:00Z</dcterms:modified>
</cp:coreProperties>
</file>